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9A43D4" w:rsidR="00856A4B" w:rsidP="009A43D4" w:rsidRDefault="00F86CF4" w14:paraId="2AA4719B" w14:textId="6EE4C41A">
      <w:pPr>
        <w:jc w:val="center"/>
        <w:rPr>
          <w:b/>
          <w:bCs/>
          <w:sz w:val="28"/>
          <w:szCs w:val="28"/>
          <w:lang w:val="es-ES"/>
        </w:rPr>
      </w:pPr>
      <w:r w:rsidRPr="4D6BE74B">
        <w:rPr>
          <w:b/>
          <w:bCs/>
          <w:sz w:val="28"/>
          <w:szCs w:val="28"/>
          <w:lang w:val="es-ES"/>
        </w:rPr>
        <w:t xml:space="preserve">FORMULARIO DE PREGUNTAS OFICIO CONTRALORÍA </w:t>
      </w:r>
      <w:r w:rsidRPr="009A43D4" w:rsidR="009A43D4">
        <w:rPr>
          <w:b/>
          <w:bCs/>
          <w:sz w:val="28"/>
          <w:szCs w:val="28"/>
          <w:lang w:val="es-ES"/>
        </w:rPr>
        <w:t>Radicación #: 2-2026-00659 Fecha: 2026-01-15 14:23</w:t>
      </w:r>
    </w:p>
    <w:p w:rsidR="00856A4B" w:rsidRDefault="00856A4B" w14:paraId="62431CDC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  <w:bCs/>
          <w:color w:val="00B0F0"/>
        </w:rPr>
      </w:pPr>
    </w:p>
    <w:p w:rsidR="00856A4B" w:rsidRDefault="00F86CF4" w14:paraId="5E008979" w14:textId="77777777">
      <w:pPr>
        <w:numPr>
          <w:ilvl w:val="0"/>
          <w:numId w:val="2"/>
        </w:numPr>
        <w:spacing w:before="240" w:after="2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Procedimiento establecido por el Fondo para registrar y seleccionar las propuestas presentadas por los habitantes de la localidad.</w:t>
      </w:r>
    </w:p>
    <w:p w:rsidR="00856A4B" w:rsidRDefault="00F86CF4" w14:paraId="04BE321A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El </w:t>
      </w:r>
      <w:r>
        <w:rPr>
          <w:rFonts w:ascii="Times New Roman" w:hAnsi="Times New Roman" w:eastAsia="Times New Roman" w:cs="Times New Roman"/>
          <w:b/>
          <w:bCs/>
        </w:rPr>
        <w:t>Fondo de Desarrollo Local de Tunjuelito</w:t>
      </w:r>
      <w:r>
        <w:rPr>
          <w:rFonts w:ascii="Times New Roman" w:hAnsi="Times New Roman" w:eastAsia="Times New Roman" w:cs="Times New Roman"/>
        </w:rPr>
        <w:t xml:space="preserve"> adelantó el procedimiento para el registro y selección de las propuestas ciudadanas en el marco del proceso de </w:t>
      </w:r>
      <w:r>
        <w:rPr>
          <w:rFonts w:ascii="Times New Roman" w:hAnsi="Times New Roman" w:eastAsia="Times New Roman" w:cs="Times New Roman"/>
          <w:b/>
          <w:bCs/>
        </w:rPr>
        <w:t>Presupuestos Participativos</w:t>
      </w:r>
      <w:r>
        <w:rPr>
          <w:rFonts w:ascii="Times New Roman" w:hAnsi="Times New Roman" w:eastAsia="Times New Roman" w:cs="Times New Roman"/>
        </w:rPr>
        <w:t xml:space="preserve">, de conformidad con la </w:t>
      </w:r>
      <w:r>
        <w:rPr>
          <w:rFonts w:ascii="Times New Roman" w:hAnsi="Times New Roman" w:eastAsia="Times New Roman" w:cs="Times New Roman"/>
          <w:b/>
          <w:bCs/>
        </w:rPr>
        <w:t>Directiva Conjunta No. 0001 de 2025</w:t>
      </w:r>
      <w:r>
        <w:rPr>
          <w:rFonts w:ascii="Times New Roman" w:hAnsi="Times New Roman" w:eastAsia="Times New Roman" w:cs="Times New Roman"/>
        </w:rPr>
        <w:t xml:space="preserve"> y los lineamientos definidos por la </w:t>
      </w:r>
      <w:r>
        <w:rPr>
          <w:rFonts w:ascii="Times New Roman" w:hAnsi="Times New Roman" w:eastAsia="Times New Roman" w:cs="Times New Roman"/>
          <w:b/>
          <w:bCs/>
        </w:rPr>
        <w:t>Coordinación General de Presupuestos Participativos (CGPP)</w:t>
      </w:r>
      <w:r>
        <w:rPr>
          <w:rFonts w:ascii="Times New Roman" w:hAnsi="Times New Roman" w:eastAsia="Times New Roman" w:cs="Times New Roman"/>
        </w:rPr>
        <w:t>, instancia interinstitucional conformada por la Secretaría Distrital de Gobierno, la Secretaría Distrital de Planeación y el Instituto Distrital de la Participación y Acción Comunal.</w:t>
      </w:r>
    </w:p>
    <w:p w:rsidR="00856A4B" w:rsidRDefault="00F86CF4" w14:paraId="467C4E76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En desarrollo de dicho procedimiento y una vez surtida la etapa de alistamiento, el Fondo implementó las rutas metodológicas </w:t>
      </w:r>
      <w:r>
        <w:rPr>
          <w:rFonts w:ascii="Times New Roman" w:hAnsi="Times New Roman" w:eastAsia="Times New Roman" w:cs="Times New Roman"/>
          <w:b/>
          <w:bCs/>
        </w:rPr>
        <w:t>“Imaginemos lo Local”</w:t>
      </w:r>
      <w:r>
        <w:rPr>
          <w:rFonts w:ascii="Times New Roman" w:hAnsi="Times New Roman" w:eastAsia="Times New Roman" w:cs="Times New Roman"/>
        </w:rPr>
        <w:t xml:space="preserve"> e </w:t>
      </w:r>
      <w:r>
        <w:rPr>
          <w:rFonts w:ascii="Times New Roman" w:hAnsi="Times New Roman" w:eastAsia="Times New Roman" w:cs="Times New Roman"/>
          <w:b/>
          <w:bCs/>
        </w:rPr>
        <w:t>“Idea lo Local”</w:t>
      </w:r>
      <w:r>
        <w:rPr>
          <w:rFonts w:ascii="Times New Roman" w:hAnsi="Times New Roman" w:eastAsia="Times New Roman" w:cs="Times New Roman"/>
        </w:rPr>
        <w:t xml:space="preserve">, a través de la realización de </w:t>
      </w:r>
      <w:r>
        <w:rPr>
          <w:rFonts w:ascii="Times New Roman" w:hAnsi="Times New Roman" w:eastAsia="Times New Roman" w:cs="Times New Roman"/>
          <w:b/>
          <w:bCs/>
        </w:rPr>
        <w:t>Diálogos Generales</w:t>
      </w:r>
      <w:r>
        <w:rPr>
          <w:rFonts w:ascii="Times New Roman" w:hAnsi="Times New Roman" w:eastAsia="Times New Roman" w:cs="Times New Roman"/>
        </w:rPr>
        <w:t xml:space="preserve"> y </w:t>
      </w:r>
      <w:r>
        <w:rPr>
          <w:rFonts w:ascii="Times New Roman" w:hAnsi="Times New Roman" w:eastAsia="Times New Roman" w:cs="Times New Roman"/>
          <w:b/>
          <w:bCs/>
        </w:rPr>
        <w:t>Diálogos Diferenciales</w:t>
      </w:r>
      <w:r>
        <w:rPr>
          <w:rFonts w:ascii="Times New Roman" w:hAnsi="Times New Roman" w:eastAsia="Times New Roman" w:cs="Times New Roman"/>
        </w:rPr>
        <w:t>, espacios de concertación ciudadana diseñados para la construcción colectiva e individual de las propuestas por parte de la comunidad.</w:t>
      </w:r>
    </w:p>
    <w:p w:rsidR="00856A4B" w:rsidRDefault="00F86CF4" w14:paraId="43F0D426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Durante estos espacios, y atendiendo los lineamientos establecidos en los documentos </w:t>
      </w:r>
      <w:r>
        <w:rPr>
          <w:rFonts w:ascii="Times New Roman" w:hAnsi="Times New Roman" w:eastAsia="Times New Roman" w:cs="Times New Roman"/>
          <w:b/>
          <w:bCs/>
        </w:rPr>
        <w:t>ABC – Presupuestos Participativos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b/>
          <w:bCs/>
        </w:rPr>
        <w:t>Anexo 1. Orientaciones Metodológicas para la Ruta “Imaginemos lo Local”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  <w:b/>
          <w:bCs/>
        </w:rPr>
        <w:t>Anexo 3. Criterios de Aprobación</w:t>
      </w:r>
      <w:r>
        <w:rPr>
          <w:rFonts w:ascii="Times New Roman" w:hAnsi="Times New Roman" w:eastAsia="Times New Roman" w:cs="Times New Roman"/>
        </w:rPr>
        <w:t xml:space="preserve"> y </w:t>
      </w:r>
      <w:r>
        <w:rPr>
          <w:rFonts w:ascii="Times New Roman" w:hAnsi="Times New Roman" w:eastAsia="Times New Roman" w:cs="Times New Roman"/>
          <w:b/>
          <w:bCs/>
        </w:rPr>
        <w:t>Anexo 5. Instructivo Metodológico para el Registro de Propuestas y la Etapa de Revisión</w:t>
      </w:r>
      <w:r>
        <w:rPr>
          <w:rFonts w:ascii="Times New Roman" w:hAnsi="Times New Roman" w:eastAsia="Times New Roman" w:cs="Times New Roman"/>
        </w:rPr>
        <w:t xml:space="preserve">, los habitantes de la localidad, con el acompañamiento del equipo de facilitadores, identificaron problemáticas y/o necesidades del territorio, debatieron las iniciativas y seleccionaron las propuestas a presentar, priorizando aquellas que resultaran </w:t>
      </w:r>
      <w:r>
        <w:rPr>
          <w:rFonts w:ascii="Times New Roman" w:hAnsi="Times New Roman" w:eastAsia="Times New Roman" w:cs="Times New Roman"/>
          <w:b/>
          <w:bCs/>
        </w:rPr>
        <w:t>viables técnica y presupuestalmente</w:t>
      </w:r>
      <w:r>
        <w:rPr>
          <w:rFonts w:ascii="Times New Roman" w:hAnsi="Times New Roman" w:eastAsia="Times New Roman" w:cs="Times New Roman"/>
        </w:rPr>
        <w:t>, mediante la validación de temas, líneas de inversión y conceptos de gasto.</w:t>
      </w:r>
    </w:p>
    <w:p w:rsidR="00856A4B" w:rsidRDefault="00F86CF4" w14:paraId="51B1D8C4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El </w:t>
      </w:r>
      <w:r>
        <w:rPr>
          <w:rFonts w:ascii="Times New Roman" w:hAnsi="Times New Roman" w:eastAsia="Times New Roman" w:cs="Times New Roman"/>
          <w:b/>
          <w:bCs/>
        </w:rPr>
        <w:t>registro de las propuestas</w:t>
      </w:r>
      <w:r>
        <w:rPr>
          <w:rFonts w:ascii="Times New Roman" w:hAnsi="Times New Roman" w:eastAsia="Times New Roman" w:cs="Times New Roman"/>
        </w:rPr>
        <w:t xml:space="preserve"> se realizó inicialmente en </w:t>
      </w:r>
      <w:r>
        <w:rPr>
          <w:rFonts w:ascii="Times New Roman" w:hAnsi="Times New Roman" w:eastAsia="Times New Roman" w:cs="Times New Roman"/>
          <w:b/>
          <w:bCs/>
        </w:rPr>
        <w:t>medio físico</w:t>
      </w:r>
      <w:r>
        <w:rPr>
          <w:rFonts w:ascii="Times New Roman" w:hAnsi="Times New Roman" w:eastAsia="Times New Roman" w:cs="Times New Roman"/>
        </w:rPr>
        <w:t xml:space="preserve">, utilizando los formatos oficiales definidos por la CGPP. Posteriormente, el </w:t>
      </w:r>
      <w:r>
        <w:rPr>
          <w:rFonts w:ascii="Times New Roman" w:hAnsi="Times New Roman" w:eastAsia="Times New Roman" w:cs="Times New Roman"/>
          <w:b/>
          <w:bCs/>
        </w:rPr>
        <w:t>Equipo de Participación de la Alcaldía Local de Tunjuelito</w:t>
      </w:r>
      <w:r>
        <w:rPr>
          <w:rFonts w:ascii="Times New Roman" w:hAnsi="Times New Roman" w:eastAsia="Times New Roman" w:cs="Times New Roman"/>
        </w:rPr>
        <w:t xml:space="preserve"> efectuó el cargue de la información en la </w:t>
      </w:r>
      <w:r>
        <w:rPr>
          <w:rFonts w:ascii="Times New Roman" w:hAnsi="Times New Roman" w:eastAsia="Times New Roman" w:cs="Times New Roman"/>
          <w:b/>
          <w:bCs/>
        </w:rPr>
        <w:t>plataforma distrital de participación</w:t>
      </w:r>
      <w:r>
        <w:rPr>
          <w:rFonts w:ascii="Times New Roman" w:hAnsi="Times New Roman" w:eastAsia="Times New Roman" w:cs="Times New Roman"/>
        </w:rPr>
        <w:t>, disponible en</w:t>
      </w:r>
      <w:hyperlink r:id="rId6">
        <w:r>
          <w:rPr>
            <w:rFonts w:ascii="Times New Roman" w:hAnsi="Times New Roman" w:eastAsia="Times New Roman" w:cs="Times New Roman"/>
          </w:rPr>
          <w:t xml:space="preserve"> </w:t>
        </w:r>
      </w:hyperlink>
      <w:hyperlink r:id="rId7">
        <w:r>
          <w:rPr>
            <w:rFonts w:ascii="Times New Roman" w:hAnsi="Times New Roman" w:eastAsia="Times New Roman" w:cs="Times New Roman"/>
            <w:color w:val="1155CC"/>
            <w:u w:val="single"/>
          </w:rPr>
          <w:t>https://participacion.gobiernoabiertobogota.gov.co/</w:t>
        </w:r>
      </w:hyperlink>
      <w:r>
        <w:rPr>
          <w:rFonts w:ascii="Times New Roman" w:hAnsi="Times New Roman" w:eastAsia="Times New Roman" w:cs="Times New Roman"/>
        </w:rPr>
        <w:t xml:space="preserve"> conforme a los lineamientos establecidos para tal fin.</w:t>
      </w:r>
    </w:p>
    <w:p w:rsidR="00856A4B" w:rsidRDefault="00F86CF4" w14:paraId="1A0C4BC3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Finalmente, se precisa que la información registrada en la mencionada plataforma queda bajo la </w:t>
      </w:r>
      <w:r>
        <w:rPr>
          <w:rFonts w:ascii="Times New Roman" w:hAnsi="Times New Roman" w:eastAsia="Times New Roman" w:cs="Times New Roman"/>
          <w:b/>
          <w:bCs/>
        </w:rPr>
        <w:t>administración y custodia de la Secretaría Distrital de Gobierno</w:t>
      </w:r>
      <w:r>
        <w:rPr>
          <w:rFonts w:ascii="Times New Roman" w:hAnsi="Times New Roman" w:eastAsia="Times New Roman" w:cs="Times New Roman"/>
        </w:rPr>
        <w:t>, en el marco de las competencias asignadas dentro del proceso de Presupuestos Participativos.</w:t>
      </w:r>
    </w:p>
    <w:p w:rsidR="00856A4B" w:rsidRDefault="00F86CF4" w14:paraId="1F8BB6B7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lastRenderedPageBreak/>
        <w:t>Anexos:</w:t>
      </w:r>
    </w:p>
    <w:p w:rsidR="00856A4B" w:rsidRDefault="00F86CF4" w14:paraId="4B92FA1C" w14:textId="77777777">
      <w:pPr>
        <w:numPr>
          <w:ilvl w:val="0"/>
          <w:numId w:val="3"/>
        </w:numPr>
        <w:spacing w:before="240" w:after="0"/>
        <w:ind w:left="14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Directiva Conjunta 0001 de 2025</w:t>
      </w:r>
    </w:p>
    <w:p w:rsidR="00856A4B" w:rsidRDefault="00F86CF4" w14:paraId="672BAD9B" w14:textId="77777777">
      <w:pPr>
        <w:numPr>
          <w:ilvl w:val="0"/>
          <w:numId w:val="3"/>
        </w:numPr>
        <w:spacing w:after="0"/>
        <w:ind w:left="14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ABC – Presupuestos Participativos,</w:t>
      </w:r>
    </w:p>
    <w:p w:rsidR="00856A4B" w:rsidRDefault="00F86CF4" w14:paraId="4C6E571A" w14:textId="77777777">
      <w:pPr>
        <w:numPr>
          <w:ilvl w:val="0"/>
          <w:numId w:val="3"/>
        </w:numPr>
        <w:spacing w:after="0"/>
        <w:ind w:left="14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Anexo 1. Orientaciones Metodológicas para la Ruta “Imaginemos lo Local”,</w:t>
      </w:r>
    </w:p>
    <w:p w:rsidR="00856A4B" w:rsidRDefault="00F86CF4" w14:paraId="4C1E4853" w14:textId="77777777">
      <w:pPr>
        <w:numPr>
          <w:ilvl w:val="0"/>
          <w:numId w:val="3"/>
        </w:numPr>
        <w:spacing w:after="0"/>
        <w:ind w:left="14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Anexo 3. Criterios de Aprobación</w:t>
      </w:r>
    </w:p>
    <w:p w:rsidR="00856A4B" w:rsidRDefault="00F86CF4" w14:paraId="5D1A99A8" w14:textId="77777777">
      <w:pPr>
        <w:numPr>
          <w:ilvl w:val="0"/>
          <w:numId w:val="3"/>
        </w:numPr>
        <w:spacing w:after="0" w:line="360" w:lineRule="auto"/>
        <w:ind w:left="14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Anexo 5. Instructivo Metodológico para el Registro de Propuestas y la Etapa de Revisión.</w:t>
      </w:r>
    </w:p>
    <w:p w:rsidR="00856A4B" w:rsidP="27D623EB" w:rsidRDefault="00F86CF4" w14:paraId="3B59B56F" w14:textId="290881EB">
      <w:pPr>
        <w:numPr>
          <w:ilvl w:val="0"/>
          <w:numId w:val="2"/>
        </w:numPr>
        <w:spacing w:after="240" w:line="360" w:lineRule="auto"/>
        <w:jc w:val="both"/>
        <w:rPr>
          <w:b w:val="1"/>
          <w:bCs w:val="1"/>
          <w:color w:val="00B0F0"/>
          <w:lang w:val="es-ES"/>
        </w:rPr>
      </w:pPr>
      <w:r w:rsidRPr="27D623EB" w:rsidR="00F86CF4">
        <w:rPr>
          <w:rFonts w:ascii="Times New Roman" w:hAnsi="Times New Roman" w:eastAsia="Times New Roman" w:cs="Times New Roman"/>
          <w:lang w:val="es-ES"/>
        </w:rPr>
        <w:t>Los presupuestos participativos que se desarrollaron en la vigencia 2025, los recursos asignados para cada uno y los proyectos de inversión en los cuales fueron incluido.</w:t>
      </w:r>
      <w:r w:rsidRPr="27D623EB" w:rsidR="00F86CF4">
        <w:rPr>
          <w:rFonts w:ascii="Times New Roman" w:hAnsi="Times New Roman" w:eastAsia="Times New Roman" w:cs="Times New Roman"/>
          <w:lang w:val="es-ES"/>
        </w:rPr>
        <w:t xml:space="preserve"> </w:t>
      </w:r>
    </w:p>
    <w:p w:rsidR="74EDC910" w:rsidP="27D623EB" w:rsidRDefault="74EDC910" w14:paraId="164205C0" w14:textId="54E7F8FE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spacing w:after="0"/>
        <w:ind w:left="0"/>
        <w:jc w:val="both"/>
        <w:rPr>
          <w:rFonts w:ascii="Aptos" w:hAnsi="Aptos" w:eastAsia="Aptos" w:cs="Aptos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s-ES"/>
        </w:rPr>
      </w:pPr>
      <w:r w:rsidRPr="27D623EB" w:rsidR="74EDC910">
        <w:rPr>
          <w:rFonts w:ascii="Aptos" w:hAnsi="Aptos" w:eastAsia="Aptos" w:cs="Aptos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s-ES"/>
        </w:rPr>
        <w:t xml:space="preserve">Al respecto se remite anexo a la presente respuesta, archivo denominado Anexo 2, </w:t>
      </w:r>
      <w:r w:rsidRPr="27D623EB" w:rsidR="2F73CFF5">
        <w:rPr>
          <w:rFonts w:ascii="Aptos" w:hAnsi="Aptos" w:eastAsia="Aptos" w:cs="Aptos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s-ES"/>
        </w:rPr>
        <w:t>Presupuestos Participativos</w:t>
      </w:r>
      <w:r w:rsidRPr="27D623EB" w:rsidR="74EDC910">
        <w:rPr>
          <w:rFonts w:ascii="Aptos" w:hAnsi="Aptos" w:eastAsia="Aptos" w:cs="Aptos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lang w:val="es-ES"/>
        </w:rPr>
        <w:t>.</w:t>
      </w:r>
    </w:p>
    <w:p w:rsidR="00856A4B" w:rsidP="00B073F5" w:rsidRDefault="00F86CF4" w14:paraId="762C2DBA" w14:textId="77777777">
      <w:pPr>
        <w:numPr>
          <w:ilvl w:val="0"/>
          <w:numId w:val="2"/>
        </w:numPr>
        <w:spacing w:before="240" w:after="24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Mecanismo de evaluación de los resultados obtenidos para cada presupuesto participativo previstos por el Fondo</w:t>
      </w:r>
    </w:p>
    <w:p w:rsidR="00856A4B" w:rsidRDefault="00F86CF4" w14:paraId="5CA61764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El Fondo de Desarrollo Local de Tunjuelit</w:t>
      </w:r>
      <w:bookmarkStart w:name="_GoBack" w:id="0"/>
      <w:bookmarkEnd w:id="0"/>
      <w:r>
        <w:rPr>
          <w:rFonts w:ascii="Times New Roman" w:hAnsi="Times New Roman" w:eastAsia="Times New Roman" w:cs="Times New Roman"/>
        </w:rPr>
        <w:t xml:space="preserve">o, desarrollará conforme al marco normativo vigente, integrado por la </w:t>
      </w:r>
      <w:r>
        <w:rPr>
          <w:rFonts w:ascii="Times New Roman" w:hAnsi="Times New Roman" w:eastAsia="Times New Roman" w:cs="Times New Roman"/>
          <w:b/>
          <w:bCs/>
        </w:rPr>
        <w:t>Ley 1757 de 2015</w:t>
      </w:r>
      <w:r>
        <w:rPr>
          <w:rFonts w:ascii="Times New Roman" w:hAnsi="Times New Roman" w:eastAsia="Times New Roman" w:cs="Times New Roman"/>
        </w:rPr>
        <w:t xml:space="preserve">, el </w:t>
      </w:r>
      <w:r>
        <w:rPr>
          <w:rFonts w:ascii="Times New Roman" w:hAnsi="Times New Roman" w:eastAsia="Times New Roman" w:cs="Times New Roman"/>
          <w:b/>
          <w:bCs/>
        </w:rPr>
        <w:t>Acuerdo Distrital 740 de 2019</w:t>
      </w:r>
      <w:r>
        <w:rPr>
          <w:rFonts w:ascii="Times New Roman" w:hAnsi="Times New Roman" w:eastAsia="Times New Roman" w:cs="Times New Roman"/>
        </w:rPr>
        <w:t xml:space="preserve">, el </w:t>
      </w:r>
      <w:r>
        <w:rPr>
          <w:rFonts w:ascii="Times New Roman" w:hAnsi="Times New Roman" w:eastAsia="Times New Roman" w:cs="Times New Roman"/>
          <w:b/>
          <w:bCs/>
        </w:rPr>
        <w:t>Decreto Distrital 768 de 2019</w:t>
      </w:r>
      <w:r>
        <w:rPr>
          <w:rFonts w:ascii="Times New Roman" w:hAnsi="Times New Roman" w:eastAsia="Times New Roman" w:cs="Times New Roman"/>
        </w:rPr>
        <w:t xml:space="preserve">, el </w:t>
      </w:r>
      <w:r>
        <w:rPr>
          <w:rFonts w:ascii="Times New Roman" w:hAnsi="Times New Roman" w:eastAsia="Times New Roman" w:cs="Times New Roman"/>
          <w:b/>
          <w:bCs/>
        </w:rPr>
        <w:t>Acuerdo Distrital 878 de 2023</w:t>
      </w:r>
      <w:r>
        <w:rPr>
          <w:rFonts w:ascii="Times New Roman" w:hAnsi="Times New Roman" w:eastAsia="Times New Roman" w:cs="Times New Roman"/>
        </w:rPr>
        <w:t xml:space="preserve">, el </w:t>
      </w:r>
      <w:r>
        <w:rPr>
          <w:rFonts w:ascii="Times New Roman" w:hAnsi="Times New Roman" w:eastAsia="Times New Roman" w:cs="Times New Roman"/>
          <w:b/>
          <w:bCs/>
        </w:rPr>
        <w:t>Decreto Distrital 495 de 2023</w:t>
      </w:r>
      <w:r>
        <w:rPr>
          <w:rFonts w:ascii="Times New Roman" w:hAnsi="Times New Roman" w:eastAsia="Times New Roman" w:cs="Times New Roman"/>
        </w:rPr>
        <w:t>, la evaluación de los resultados obtenidos para cada presupuesto participativo.</w:t>
      </w:r>
    </w:p>
    <w:p w:rsidR="00856A4B" w:rsidRDefault="00F86CF4" w14:paraId="664077AE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Para cada iniciativa priorizada en la vigencia 2025, el Fondo aplica criterios de evaluación orientados a verificar:</w:t>
      </w:r>
    </w:p>
    <w:p w:rsidR="00856A4B" w:rsidRDefault="00F86CF4" w14:paraId="04FE50C9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El cumplimiento de las iniciativas priorizadas por la ciudadanía en el marco de los Presupuestos Participativos.</w:t>
      </w:r>
    </w:p>
    <w:p w:rsidR="00856A4B" w:rsidRDefault="00F86CF4" w14:paraId="1471C382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La ejecución física y presupuestal de los recursos asignados.</w:t>
      </w:r>
    </w:p>
    <w:p w:rsidR="00856A4B" w:rsidRDefault="00F86CF4" w14:paraId="43F4F161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La correspondencia entre las iniciativas priorizadas y los proyectos de inversión local formulados, en coherencia con el </w:t>
      </w:r>
      <w:r>
        <w:rPr>
          <w:rFonts w:ascii="Times New Roman" w:hAnsi="Times New Roman" w:eastAsia="Times New Roman" w:cs="Times New Roman"/>
          <w:b/>
          <w:bCs/>
        </w:rPr>
        <w:t>Plan de Desarrollo Local</w:t>
      </w:r>
      <w:r>
        <w:rPr>
          <w:rFonts w:ascii="Times New Roman" w:hAnsi="Times New Roman" w:eastAsia="Times New Roman" w:cs="Times New Roman"/>
        </w:rPr>
        <w:t xml:space="preserve"> y el </w:t>
      </w:r>
      <w:r>
        <w:rPr>
          <w:rFonts w:ascii="Times New Roman" w:hAnsi="Times New Roman" w:eastAsia="Times New Roman" w:cs="Times New Roman"/>
          <w:b/>
          <w:bCs/>
        </w:rPr>
        <w:t>Plan de Desarrollo Distrital</w:t>
      </w:r>
      <w:r>
        <w:rPr>
          <w:rFonts w:ascii="Times New Roman" w:hAnsi="Times New Roman" w:eastAsia="Times New Roman" w:cs="Times New Roman"/>
        </w:rPr>
        <w:t>.</w:t>
      </w:r>
    </w:p>
    <w:p w:rsidR="00856A4B" w:rsidRDefault="00F86CF4" w14:paraId="16B625FF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El cumplimiento de los productos definidos en los proyectos de inversión asociados.</w:t>
      </w:r>
    </w:p>
    <w:p w:rsidR="00856A4B" w:rsidRDefault="00F86CF4" w14:paraId="16152555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El seguimiento se realiza de manera </w:t>
      </w:r>
      <w:r>
        <w:rPr>
          <w:rFonts w:ascii="Times New Roman" w:hAnsi="Times New Roman" w:eastAsia="Times New Roman" w:cs="Times New Roman"/>
          <w:b/>
          <w:bCs/>
        </w:rPr>
        <w:t>periódica y trimestral</w:t>
      </w:r>
      <w:r>
        <w:rPr>
          <w:rFonts w:ascii="Times New Roman" w:hAnsi="Times New Roman" w:eastAsia="Times New Roman" w:cs="Times New Roman"/>
        </w:rPr>
        <w:t xml:space="preserve">, conforme a lo establecido en el </w:t>
      </w:r>
      <w:r>
        <w:rPr>
          <w:rFonts w:ascii="Times New Roman" w:hAnsi="Times New Roman" w:eastAsia="Times New Roman" w:cs="Times New Roman"/>
          <w:b/>
          <w:bCs/>
        </w:rPr>
        <w:t>Acuerdo 878 de 2023</w:t>
      </w:r>
      <w:r>
        <w:rPr>
          <w:rFonts w:ascii="Times New Roman" w:hAnsi="Times New Roman" w:eastAsia="Times New Roman" w:cs="Times New Roman"/>
        </w:rPr>
        <w:t xml:space="preserve"> y el </w:t>
      </w:r>
      <w:r>
        <w:rPr>
          <w:rFonts w:ascii="Times New Roman" w:hAnsi="Times New Roman" w:eastAsia="Times New Roman" w:cs="Times New Roman"/>
          <w:b/>
          <w:bCs/>
        </w:rPr>
        <w:t>Decreto 495 de 2023</w:t>
      </w:r>
      <w:r>
        <w:rPr>
          <w:rFonts w:ascii="Times New Roman" w:hAnsi="Times New Roman" w:eastAsia="Times New Roman" w:cs="Times New Roman"/>
        </w:rPr>
        <w:t xml:space="preserve">, mediante la revisión de informes técnicos y financieros, reportes de avance, cronogramas y soportes administrativos, contractuales y presupuestales, en aplicación de los </w:t>
      </w:r>
      <w:r>
        <w:rPr>
          <w:rFonts w:ascii="Times New Roman" w:hAnsi="Times New Roman" w:eastAsia="Times New Roman" w:cs="Times New Roman"/>
        </w:rPr>
        <w:lastRenderedPageBreak/>
        <w:t>ajustes metodológicos definidos para fortalecer la transparencia y la correcta ejecución de los proyectos ciudadanos.</w:t>
      </w:r>
    </w:p>
    <w:p w:rsidR="00856A4B" w:rsidRDefault="00F86CF4" w14:paraId="5992B279" w14:textId="77777777">
      <w:pPr>
        <w:spacing w:before="240" w:after="240"/>
        <w:ind w:left="720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Una vez culminada la ejecución de las iniciativas priorizadas, se adelanta la evaluación de resultados, la cual permite contrastar los resultados alcanzados frente a lo aprobado por la ciudadanía, identificar logros, dificultades y oportunidades de mejora, y dejar los respectivos soportes para efectos de seguimiento institucional y </w:t>
      </w:r>
      <w:r>
        <w:rPr>
          <w:rFonts w:ascii="Times New Roman" w:hAnsi="Times New Roman" w:eastAsia="Times New Roman" w:cs="Times New Roman"/>
          <w:b/>
          <w:bCs/>
        </w:rPr>
        <w:t>control fiscal posterior y selectivo</w:t>
      </w:r>
      <w:r>
        <w:rPr>
          <w:rFonts w:ascii="Times New Roman" w:hAnsi="Times New Roman" w:eastAsia="Times New Roman" w:cs="Times New Roman"/>
        </w:rPr>
        <w:t>.</w:t>
      </w:r>
    </w:p>
    <w:p w:rsidR="00856A4B" w:rsidRDefault="00F86CF4" w14:paraId="74025E1A" w14:textId="77777777">
      <w:pPr>
        <w:spacing w:before="240" w:after="240"/>
        <w:ind w:left="720"/>
        <w:jc w:val="both"/>
      </w:pPr>
      <w:r>
        <w:rPr>
          <w:rFonts w:ascii="Times New Roman" w:hAnsi="Times New Roman" w:eastAsia="Times New Roman" w:cs="Times New Roman"/>
        </w:rPr>
        <w:t xml:space="preserve">Los resultados de la evaluación harán parte de los ejercicios de </w:t>
      </w:r>
      <w:r>
        <w:rPr>
          <w:rFonts w:ascii="Times New Roman" w:hAnsi="Times New Roman" w:eastAsia="Times New Roman" w:cs="Times New Roman"/>
          <w:b/>
          <w:bCs/>
        </w:rPr>
        <w:t>rendición de cuentas</w:t>
      </w:r>
      <w:r>
        <w:rPr>
          <w:rFonts w:ascii="Times New Roman" w:hAnsi="Times New Roman" w:eastAsia="Times New Roman" w:cs="Times New Roman"/>
        </w:rPr>
        <w:t xml:space="preserve">, y se encontrarán disponibles para los procesos de </w:t>
      </w:r>
      <w:r>
        <w:rPr>
          <w:rFonts w:ascii="Times New Roman" w:hAnsi="Times New Roman" w:eastAsia="Times New Roman" w:cs="Times New Roman"/>
          <w:b/>
          <w:bCs/>
        </w:rPr>
        <w:t>seguimiento, evaluación y control</w:t>
      </w:r>
      <w:r>
        <w:rPr>
          <w:rFonts w:ascii="Times New Roman" w:hAnsi="Times New Roman" w:eastAsia="Times New Roman" w:cs="Times New Roman"/>
        </w:rPr>
        <w:t xml:space="preserve"> adelantados por las instancias distritales competentes, los entes de control y veedurías ciudadanas conforme a la normativa vigente.</w:t>
      </w:r>
    </w:p>
    <w:sectPr w:rsidR="00856A4B">
      <w:pgSz w:w="11906" w:h="16838" w:orient="portrait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  <w:embedRegular w:fontKey="{5429C3A7-F37E-4A64-9A7D-43221B91D535}" r:id="rId1"/>
    <w:embedBold w:fontKey="{69C5C485-E8C4-451D-9FE8-5EACDD6296DE}" r:id="rId2"/>
    <w:embedItalic w:fontKey="{7D4D2286-9062-4318-A047-2631AA2B3BB3}" r:id="rId3"/>
  </w:font>
  <w:font w:name="Play">
    <w:altName w:val="Calibri"/>
    <w:charset w:val="00"/>
    <w:family w:val="auto"/>
    <w:pitch w:val="default"/>
    <w:embedRegular w:fontKey="{2F6DDBD8-8A17-4EB5-AA46-00F4825646FF}" r:id="rId4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w:fontKey="{472DCD89-793A-4CF8-87DC-85F811B0D1ED}" r:id="rId5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34788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eastAsia="Arial" w:cs="Arial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BE013"/>
    <w:multiLevelType w:val="hybridMultilevel"/>
    <w:tmpl w:val="C054DE3E"/>
    <w:lvl w:ilvl="0" w:tplc="7C124A4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9B8E5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0EA17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2A69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CE455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F506D7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7D6D6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2AC23E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5203B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1F60CF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3" w15:restartNumberingAfterBreak="0">
    <w:nsid w:val="72CC586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proofState w:spelling="clean" w:grammar="dirty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A4B"/>
    <w:rsid w:val="005D71C5"/>
    <w:rsid w:val="00856A4B"/>
    <w:rsid w:val="009A43D4"/>
    <w:rsid w:val="00B073F5"/>
    <w:rsid w:val="00F86CF4"/>
    <w:rsid w:val="01569931"/>
    <w:rsid w:val="01B0AF94"/>
    <w:rsid w:val="045C480A"/>
    <w:rsid w:val="04A13B38"/>
    <w:rsid w:val="058F9FFA"/>
    <w:rsid w:val="06D4E5FD"/>
    <w:rsid w:val="07C1C8AB"/>
    <w:rsid w:val="09390349"/>
    <w:rsid w:val="0CBB8DC6"/>
    <w:rsid w:val="0D3F4F22"/>
    <w:rsid w:val="0DD489D1"/>
    <w:rsid w:val="0F2BBAC2"/>
    <w:rsid w:val="0F78203B"/>
    <w:rsid w:val="0FE9F497"/>
    <w:rsid w:val="1470FB04"/>
    <w:rsid w:val="1567A8C6"/>
    <w:rsid w:val="19713298"/>
    <w:rsid w:val="1B678246"/>
    <w:rsid w:val="1B89C842"/>
    <w:rsid w:val="1D68ADC4"/>
    <w:rsid w:val="20E71506"/>
    <w:rsid w:val="22F24573"/>
    <w:rsid w:val="25BC086D"/>
    <w:rsid w:val="27D623EB"/>
    <w:rsid w:val="2C9BCE7F"/>
    <w:rsid w:val="2CB350C8"/>
    <w:rsid w:val="2D3D1875"/>
    <w:rsid w:val="2D752A72"/>
    <w:rsid w:val="2F708D51"/>
    <w:rsid w:val="2F73CFF5"/>
    <w:rsid w:val="32043D00"/>
    <w:rsid w:val="3412B1AC"/>
    <w:rsid w:val="3449D774"/>
    <w:rsid w:val="379B3E03"/>
    <w:rsid w:val="37DFC0C0"/>
    <w:rsid w:val="3855DBCC"/>
    <w:rsid w:val="39103B84"/>
    <w:rsid w:val="3926EFF7"/>
    <w:rsid w:val="3D71DB99"/>
    <w:rsid w:val="3F54666D"/>
    <w:rsid w:val="40931B2F"/>
    <w:rsid w:val="41F8F368"/>
    <w:rsid w:val="42683763"/>
    <w:rsid w:val="4513FCBA"/>
    <w:rsid w:val="4764BA20"/>
    <w:rsid w:val="479FC02F"/>
    <w:rsid w:val="47F109AE"/>
    <w:rsid w:val="4853DA29"/>
    <w:rsid w:val="4C475C45"/>
    <w:rsid w:val="4C89F293"/>
    <w:rsid w:val="4D6BE74B"/>
    <w:rsid w:val="4F6FDED4"/>
    <w:rsid w:val="50BB9CC4"/>
    <w:rsid w:val="513EBD75"/>
    <w:rsid w:val="51530555"/>
    <w:rsid w:val="51885AC3"/>
    <w:rsid w:val="555F03DA"/>
    <w:rsid w:val="556A7B29"/>
    <w:rsid w:val="55C9E784"/>
    <w:rsid w:val="55E5E5FE"/>
    <w:rsid w:val="571EEAD8"/>
    <w:rsid w:val="5832C4D1"/>
    <w:rsid w:val="585BDE26"/>
    <w:rsid w:val="5BE068E3"/>
    <w:rsid w:val="5C0FAD26"/>
    <w:rsid w:val="5CF960F9"/>
    <w:rsid w:val="5ED49110"/>
    <w:rsid w:val="5EFB7749"/>
    <w:rsid w:val="6364EC57"/>
    <w:rsid w:val="653CAAB6"/>
    <w:rsid w:val="67ACE5AC"/>
    <w:rsid w:val="68884802"/>
    <w:rsid w:val="69FB2F93"/>
    <w:rsid w:val="6B849D01"/>
    <w:rsid w:val="74D85E0A"/>
    <w:rsid w:val="74EDC910"/>
    <w:rsid w:val="7600A787"/>
    <w:rsid w:val="76093BD3"/>
    <w:rsid w:val="77FB6A52"/>
    <w:rsid w:val="78A292E5"/>
    <w:rsid w:val="78F3FAE8"/>
    <w:rsid w:val="7947B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C1D74"/>
  <w15:docId w15:val="{F287A1D3-E904-4A25-A022-9E2A016D6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ptos" w:hAnsi="Aptos" w:eastAsia="Aptos" w:cs="Aptos"/>
        <w:sz w:val="24"/>
        <w:szCs w:val="24"/>
        <w:lang w:val="es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Play" w:hAnsi="Play" w:eastAsia="Play" w:cs="Play"/>
      <w:color w:val="0F4761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hAnsi="Play" w:eastAsia="Play" w:cs="Play"/>
      <w:color w:val="0F4761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70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70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70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spacing w:after="80" w:line="240" w:lineRule="auto"/>
    </w:pPr>
    <w:rPr>
      <w:rFonts w:ascii="Play" w:hAnsi="Play" w:eastAsia="Play" w:cs="Play"/>
      <w:sz w:val="56"/>
      <w:szCs w:val="56"/>
    </w:rPr>
  </w:style>
  <w:style w:type="character" w:styleId="Ttulo1Car" w:customStyle="1">
    <w:name w:val="Título 1 Car"/>
    <w:basedOn w:val="Fuentedeprrafopredeter"/>
    <w:uiPriority w:val="9"/>
    <w:rsid w:val="00077015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uiPriority w:val="9"/>
    <w:semiHidden/>
    <w:rsid w:val="00077015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uiPriority w:val="9"/>
    <w:semiHidden/>
    <w:rsid w:val="0007701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uiPriority w:val="9"/>
    <w:semiHidden/>
    <w:rsid w:val="00077015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uiPriority w:val="9"/>
    <w:semiHidden/>
    <w:rsid w:val="00077015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uiPriority w:val="9"/>
    <w:semiHidden/>
    <w:rsid w:val="00077015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077015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077015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077015"/>
    <w:rPr>
      <w:rFonts w:eastAsiaTheme="majorEastAsia" w:cstheme="majorBidi"/>
      <w:color w:val="272727" w:themeColor="text1" w:themeTint="D8"/>
    </w:rPr>
  </w:style>
  <w:style w:type="character" w:styleId="TtuloCar" w:customStyle="1">
    <w:name w:val="Título Car"/>
    <w:basedOn w:val="Fuentedeprrafopredeter"/>
    <w:uiPriority w:val="10"/>
    <w:rsid w:val="0007701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tuloCar" w:customStyle="1">
    <w:name w:val="Subtítulo Car"/>
    <w:basedOn w:val="Fuentedeprrafopredeter"/>
    <w:uiPriority w:val="11"/>
    <w:rsid w:val="000770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7015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07701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701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7701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701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07701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7015"/>
    <w:rPr>
      <w:b/>
      <w:bCs/>
      <w:smallCaps/>
      <w:color w:val="0F4761" w:themeColor="accent1" w:themeShade="BF"/>
      <w:spacing w:val="5"/>
    </w:rPr>
  </w:style>
  <w:style w:type="paragraph" w:styleId="Subttulo">
    <w:name w:val="Subtitle"/>
    <w:basedOn w:val="Normal"/>
    <w:next w:val="Normal"/>
    <w:uiPriority w:val="11"/>
    <w:qFormat/>
    <w:rPr>
      <w:color w:val="595959"/>
      <w:sz w:val="28"/>
      <w:szCs w:val="28"/>
    </w:rPr>
  </w:style>
  <w:style w:type="table" w:styleId="a" w:customStyle="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hyperlink" Target="https://participacion.gobiernoabiertobogota.gov.co/" TargetMode="Externa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hyperlink" Target="https://participacion.gobiernoabiertobogota.gov.co/" TargetMode="Externa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KEuH3TlbcMgr6x0pwgtsnNnCSA==">CgMxLjAyDmguaDFkMmNud3U5d2g0Mg5oLjlscXZidDk0bXIzNjIOaC5jbHRoZzYxanAxN3MyDmguemZyaHBqOTMzMHluMg5oLnJucm4xamZvNzkyYjINaC41ZWdqeG5sbGJrOTIOaC5jMmF6ZGdkMWtlbGsyDmguaWJxMTJ2aWN6bTluMg5oLnJrZjdsMm1hc3BtMDIOaC5wN3BmMGRzMTdqamcyDmguNHUwaTU0MTN4NHpxOAByITFrc2M2VkFneTlqVG9WNHRMNzhYbmZaYjZsNWpXSnNU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Carlos Arturo Mejía Cano</dc:creator>
  <lastModifiedBy>Pilar Vanessa Salas Correa</lastModifiedBy>
  <revision>4</revision>
  <dcterms:created xsi:type="dcterms:W3CDTF">2026-01-23T16:22:00.0000000Z</dcterms:created>
  <dcterms:modified xsi:type="dcterms:W3CDTF">2026-01-23T19:34:02.5954979Z</dcterms:modified>
</coreProperties>
</file>